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0668A6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0668A6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0668A6">
                          <w:rPr>
                            <w:color w:val="0000FF"/>
                          </w:rPr>
                          <w:t>5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A95F17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146C7" w:rsidRPr="000668A6" w:rsidRDefault="0021189A" w:rsidP="000668A6">
      <w:pPr>
        <w:shd w:val="clear" w:color="auto" w:fill="FFFFFF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668A6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0668A6">
        <w:rPr>
          <w:rFonts w:cs="Times New Roman"/>
          <w:szCs w:val="28"/>
        </w:rPr>
        <w:t>Тляратинский</w:t>
      </w:r>
      <w:proofErr w:type="spellEnd"/>
      <w:r w:rsidRPr="000668A6">
        <w:rPr>
          <w:rFonts w:cs="Times New Roman"/>
          <w:szCs w:val="28"/>
        </w:rPr>
        <w:t xml:space="preserve"> </w:t>
      </w:r>
      <w:proofErr w:type="gramStart"/>
      <w:r w:rsidRPr="000668A6">
        <w:rPr>
          <w:rFonts w:cs="Times New Roman"/>
          <w:szCs w:val="28"/>
        </w:rPr>
        <w:t>район»  в</w:t>
      </w:r>
      <w:proofErr w:type="gramEnd"/>
      <w:r w:rsidRPr="000668A6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2146C7" w:rsidRPr="000668A6">
        <w:rPr>
          <w:rFonts w:cs="Times New Roman"/>
          <w:szCs w:val="28"/>
        </w:rPr>
        <w:t xml:space="preserve"> </w:t>
      </w:r>
      <w:r w:rsidR="002146C7" w:rsidRPr="000668A6">
        <w:rPr>
          <w:rFonts w:cs="Times New Roman"/>
          <w:b/>
          <w:bCs/>
          <w:szCs w:val="28"/>
        </w:rPr>
        <w:t>«</w:t>
      </w:r>
      <w:r w:rsidR="000668A6" w:rsidRPr="000668A6">
        <w:rPr>
          <w:rFonts w:eastAsia="Times New Roman" w:cs="Times New Roman"/>
          <w:b/>
          <w:bCs/>
          <w:szCs w:val="28"/>
          <w:lang w:eastAsia="ru-RU"/>
        </w:rPr>
        <w:t>Порядок рассмотрения вопроса о возврате имущества граждан и организаций, изъятого в ходе расследования уголовного дела</w:t>
      </w:r>
      <w:r w:rsidR="002146C7" w:rsidRPr="000668A6">
        <w:rPr>
          <w:rFonts w:cs="Times New Roman"/>
          <w:b/>
          <w:bCs/>
          <w:szCs w:val="28"/>
        </w:rPr>
        <w:t>»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В ходе расследования уголовных</w:t>
      </w:r>
      <w:bookmarkStart w:id="0" w:name="_GoBack"/>
      <w:bookmarkEnd w:id="0"/>
      <w:r w:rsidRPr="000668A6">
        <w:rPr>
          <w:rFonts w:eastAsia="Times New Roman" w:cs="Times New Roman"/>
          <w:szCs w:val="28"/>
          <w:lang w:eastAsia="ru-RU"/>
        </w:rPr>
        <w:t xml:space="preserve"> дел на следователя в соответствии с положениями статьи 85, ч.1 статьи 86, статьи 87, ч.1 статьи 88 УПК РФ возложены обязанности по сбору доказательств, их проверке путем сопоставления с иными доказательствами, имеющимися в уголовном деле, получению сведений, подтверждающих или опровергающих подлежащие проверке обстоятельства, и их оценке с точки зрения относимости, достоверности и достаточности для разрешения уголовного дела.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С этой целью следователь вправе проводить такие следственные действия как обыск и выемка.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Основанием для производства обыска является наличие достаточных данных полагать, что в каком-либо месте или у какого-либо лица могут находиться орудия преступления, предметы, документы и ценности, имеющие значение для уголовного дела.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Выемка производится в связи с необходимостью изъятия определенных предметов и документов, имеющих значение для уголовного дела, если точно известно, где и у кого они находятся.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Обыск и выемка могут производиться как у лиц из числа уголовного судопроизводства (подозреваемого или обвиняемого, потерпевшего, свидетеля), так и у иных физических и юридических лиц.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Изъятые в ходе вышеуказанных следственных действий предметы и документы следователь осматривает в порядке, предусмотренном статьями 176, 177 и 180 УПК РФ, и принимает решение либо о признании их вещественными доказательствами, либо о возврате законному владельцу.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 xml:space="preserve">Согласно положениям статьи 81.1 УПК РФ, в случае изъятия предметов и документов, включая электронные носители информации, по уголовным делам о преступлениях, совершенных в сфере предпринимательской деятельности, следователь обязан в срок не позднее 10 суток с момента из изъятия вынести </w:t>
      </w:r>
      <w:r w:rsidRPr="000668A6">
        <w:rPr>
          <w:rFonts w:eastAsia="Times New Roman" w:cs="Times New Roman"/>
          <w:szCs w:val="28"/>
          <w:lang w:eastAsia="ru-RU"/>
        </w:rPr>
        <w:lastRenderedPageBreak/>
        <w:t>постановление о признании их вещественными доказательствами. В случае, если для осмотра изъятых предметов и документов ввиду их большого количества или по другим объективным причинам требуется больше времени, то этот срок может быть продлен еще на 30 суток.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По ходатайству законного владельца изъятых документов ему предоставляется возможность снять за свой счет с них копии.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Изъятые в ходе досудебного производства, но не признанные вещественными доказательствами предметы и документы возвращаются лицам, у которых они были изъяты, не позднее чем через 5 суток по истечении сроков, указанных в части 2 статьи 81.1 УПК РФ.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Порядок хранения вещественных доказательств определен статьями 81, 82 УПК РФ. Дальнейший вопрос о судьбе вещественных доказательств подлежит разрешению при вынесении окончательного решения по уголовному делу (вынесении приговора, определения (постановления) о прекращении уголовного дела).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Собственник имущества в соответствии с требованиями ст.119 УПК РФ вправе самостоятельно, либо через своего представителя, обратиться к следователю с ходатайством о возврате изъятого в ходе следственных действий имущества.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Данное ходатайство рассматривается следователем в соответствии с порядком, установленном главой 15 УПК РФ, по результатам его рассмотрения выносится мотивированное постановление об удовлетворении ходатайства (о возврате имущества собственнику) либо об отказе в его удовлетворении.</w:t>
      </w:r>
    </w:p>
    <w:p w:rsidR="000668A6" w:rsidRPr="000668A6" w:rsidRDefault="000668A6" w:rsidP="000668A6">
      <w:pPr>
        <w:shd w:val="clear" w:color="auto" w:fill="FFFFFF"/>
        <w:spacing w:after="100" w:afterAutospacing="1"/>
        <w:ind w:right="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8A6">
        <w:rPr>
          <w:rFonts w:eastAsia="Times New Roman" w:cs="Times New Roman"/>
          <w:szCs w:val="28"/>
          <w:lang w:eastAsia="ru-RU"/>
        </w:rPr>
        <w:t>В случае несогласия с указанным решением следователя собственник имущества вправе обжаловать его прокурору либо в суд в порядке статьи 125 УПК РФ.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146C7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668A6"/>
    <w:rsid w:val="000D269D"/>
    <w:rsid w:val="00114CA6"/>
    <w:rsid w:val="00195D76"/>
    <w:rsid w:val="00204B52"/>
    <w:rsid w:val="0021189A"/>
    <w:rsid w:val="002146C7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881E8B"/>
    <w:rsid w:val="00941A57"/>
    <w:rsid w:val="009C730C"/>
    <w:rsid w:val="009E19D6"/>
    <w:rsid w:val="00A80A61"/>
    <w:rsid w:val="00A95F17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7A02D7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eeds-pagenavigationicon">
    <w:name w:val="feeds-page__navigation_icon"/>
    <w:basedOn w:val="a0"/>
    <w:rsid w:val="00A95F17"/>
  </w:style>
  <w:style w:type="character" w:customStyle="1" w:styleId="feeds-pagenavigationtooltip">
    <w:name w:val="feeds-page__navigation_tooltip"/>
    <w:basedOn w:val="a0"/>
    <w:rsid w:val="00A9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32</cp:revision>
  <cp:lastPrinted>2020-12-18T17:01:00Z</cp:lastPrinted>
  <dcterms:created xsi:type="dcterms:W3CDTF">2017-04-19T06:10:00Z</dcterms:created>
  <dcterms:modified xsi:type="dcterms:W3CDTF">2020-12-18T17:03:00Z</dcterms:modified>
</cp:coreProperties>
</file>